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305615</w:t>
      </w:r>
      <w:bookmarkStart w:id="0" w:name="_GoBack"/>
      <w:bookmarkEnd w:id="0"/>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default" w:ascii="Arial" w:hAnsi="Arial" w:eastAsia="宋体" w:cs="Arial"/>
          <w:kern w:val="0"/>
          <w:sz w:val="18"/>
          <w:szCs w:val="18"/>
          <w:lang w:val="en-US" w:eastAsia="zh-CN"/>
        </w:rPr>
      </w:pPr>
      <w:r>
        <w:rPr>
          <w:rFonts w:hint="eastAsia" w:ascii="Arial" w:hAnsi="Arial" w:cs="Arial"/>
          <w:sz w:val="20"/>
          <w:szCs w:val="21"/>
        </w:rPr>
        <w:t xml:space="preserve">In </w:t>
      </w:r>
      <w:r>
        <w:rPr>
          <w:rFonts w:ascii="Arial" w:hAnsi="Arial" w:cs="Arial"/>
          <w:sz w:val="20"/>
          <w:szCs w:val="21"/>
        </w:rPr>
        <w:t>RAN</w:t>
      </w:r>
      <w:r>
        <w:rPr>
          <w:rFonts w:hint="eastAsia" w:ascii="Arial" w:hAnsi="Arial" w:cs="Arial"/>
          <w:sz w:val="20"/>
          <w:szCs w:val="21"/>
          <w:lang w:val="en-US" w:eastAsia="zh-CN"/>
        </w:rPr>
        <w:t>2</w:t>
      </w:r>
      <w:r>
        <w:rPr>
          <w:rFonts w:ascii="Arial" w:hAnsi="Arial" w:cs="Arial"/>
          <w:sz w:val="20"/>
          <w:szCs w:val="21"/>
        </w:rPr>
        <w:t>#</w:t>
      </w:r>
      <w:r>
        <w:rPr>
          <w:rFonts w:hint="eastAsia" w:ascii="Arial" w:hAnsi="Arial" w:cs="Arial"/>
          <w:sz w:val="20"/>
          <w:szCs w:val="21"/>
          <w:lang w:val="en-US" w:eastAsia="zh-CN"/>
        </w:rPr>
        <w:t>121 meeting [1]</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agreed to study the following potential solutions for AI/ML model transfer/delivery and use the pros/cons [2] as a starting point.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26"/>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Agreed: </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Aim to at least analyze the feasibility and benefits of model/transfer solutions based on the following: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1a: gNB can transfer/deliver AI/ML model(s) to UE via RRC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2a: CN (except LMF) can transfer/deliver AI/ML model(s) to UE via NAS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3a: LMF can transfer/deliver AI/ML model(s) to UE via LPP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1b: gNB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2b: CN (except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3b: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4: Server (e.g. OAM, OTT) can transfer/delivery AI/ML model(s) to UE (e.g. transparent to 3GPP).</w:t>
            </w:r>
          </w:p>
          <w:p>
            <w:pPr>
              <w:pStyle w:val="26"/>
              <w:tabs>
                <w:tab w:val="left" w:pos="1352"/>
              </w:tabs>
              <w:overflowPunct/>
              <w:autoSpaceDE/>
              <w:autoSpaceDN/>
              <w:adjustRightInd/>
              <w:ind w:left="1619" w:hanging="360"/>
              <w:textAlignment w:val="auto"/>
              <w:rPr>
                <w:rFonts w:hint="default" w:ascii="Arial" w:hAnsi="Arial" w:cs="Arial"/>
                <w:lang w:val="en-GB" w:eastAsia="en-GB"/>
              </w:rPr>
            </w:pPr>
            <w:r>
              <w:rPr>
                <w:rFonts w:hint="default" w:ascii="Arial" w:hAnsi="Arial" w:cs="Arial"/>
                <w:sz w:val="20"/>
                <w:szCs w:val="21"/>
              </w:rPr>
              <w:t xml:space="preserve">The table can serve as starting point for continued discussion (but contains some parts that seems non consensus, e.g. delta configuration). </w:t>
            </w:r>
          </w:p>
        </w:tc>
      </w:tr>
    </w:tbl>
    <w:p>
      <w:pPr>
        <w:widowControl/>
        <w:spacing w:before="120" w:beforeLines="50" w:after="180"/>
        <w:rPr>
          <w:rFonts w:hint="eastAsia" w:ascii="Arial" w:hAnsi="Arial" w:eastAsia="宋体" w:cs="Arial"/>
          <w:kern w:val="0"/>
          <w:szCs w:val="21"/>
        </w:rPr>
      </w:pPr>
    </w:p>
    <w:tbl>
      <w:tblPr>
        <w:tblStyle w:val="10"/>
        <w:tblW w:w="10939" w:type="dxa"/>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4389"/>
        <w:gridCol w:w="5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Pr>
          <w:p>
            <w:pPr>
              <w:spacing w:after="0"/>
              <w:rPr>
                <w:rFonts w:hint="default" w:ascii="Arial" w:hAnsi="Arial" w:cs="Arial" w:eastAsiaTheme="minorEastAsia"/>
                <w:b/>
                <w:sz w:val="18"/>
                <w:szCs w:val="18"/>
                <w:lang w:eastAsia="zh-CN"/>
              </w:rPr>
            </w:pPr>
          </w:p>
        </w:tc>
        <w:tc>
          <w:tcPr>
            <w:tcW w:w="4389"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Pros</w:t>
            </w:r>
          </w:p>
        </w:tc>
        <w:tc>
          <w:tcPr>
            <w:tcW w:w="5552"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99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1a</w:t>
            </w:r>
          </w:p>
        </w:tc>
        <w:tc>
          <w:tcPr>
            <w:tcW w:w="4389"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The existing RRC signaling solutions can be reused as baseline, at least including delta signaling and segementation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9. Additional security and verification may not be necessary as the UE already established security before the transfer is initiated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11. gNB can take the control of the AIML model transfer itself, which can not be achieved by traditional UP based solution</w:t>
            </w:r>
          </w:p>
          <w:p>
            <w:pPr>
              <w:spacing w:after="0"/>
              <w:rPr>
                <w:rFonts w:hint="default" w:ascii="Arial" w:hAnsi="Arial" w:cs="Arial" w:eastAsiaTheme="minorEastAsia"/>
                <w:sz w:val="18"/>
                <w:szCs w:val="18"/>
                <w:lang w:eastAsia="zh-CN"/>
              </w:rPr>
            </w:pP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Maybe high control plane overhead, as a large model size may need segmentation/transmission/acknowledgment. This consumes critical configuration time for model transfer/delivery</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2a and 3a</w:t>
            </w:r>
          </w:p>
        </w:tc>
        <w:tc>
          <w:tcPr>
            <w:tcW w:w="4389"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Service continuity on model transfer/delivery is easy to achieve compared with Solution 1a</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Impacts on RAN2 may be limited (some companies think that LPP signalling is in RAN2 scope)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If NAS does the segmentation, it may introduce some overhead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1b</w:t>
            </w:r>
          </w:p>
        </w:tc>
        <w:tc>
          <w:tcPr>
            <w:tcW w:w="4389"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Compared with CP-based solutions, this Solution 1b can reduces control plane overhead, reduces overhead at gNB for model delivery/transfer</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Not compatible with current mobility procedure. Supporting model transfer during mobility is not so straightforward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2b and 3b</w:t>
            </w:r>
          </w:p>
        </w:tc>
        <w:tc>
          <w:tcPr>
            <w:tcW w:w="4389"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CP signalling is needed to configure and initiate the model transfer from the CN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May be unable to support delta-model transfer/delivery based on current user plane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4</w:t>
            </w:r>
          </w:p>
        </w:tc>
        <w:tc>
          <w:tcPr>
            <w:tcW w:w="4389"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There may be inter-operability issues, such as: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a)</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Different implementations may lead to different model performances and a huge burden of model management (e.g., frequent model activation/deactivation)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b)</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Massive offline coordination is needed or requires lots of coordinations among vendors, especially for the CSI compression use case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When network cannot control the model transfer/delivery, the transfer of large model may impact important and delay sensitive user data traffic</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w:t>
      </w:r>
      <w:r>
        <w:rPr>
          <w:rFonts w:ascii="Arial" w:hAnsi="Arial" w:eastAsia="宋体" w:cs="Arial"/>
          <w:kern w:val="0"/>
          <w:sz w:val="20"/>
          <w:szCs w:val="20"/>
          <w:lang w:val="en-GB"/>
        </w:rPr>
        <w:t xml:space="preserve"> </w:t>
      </w:r>
      <w:r>
        <w:rPr>
          <w:rFonts w:ascii="Arial" w:hAnsi="Arial" w:cs="Arial"/>
          <w:sz w:val="20"/>
          <w:szCs w:val="20"/>
        </w:rPr>
        <w:t xml:space="preserve">we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 xml:space="preserve">the </w:t>
      </w:r>
      <w:r>
        <w:rPr>
          <w:rFonts w:hint="eastAsia" w:ascii="Arial" w:hAnsi="Arial" w:cs="Arial"/>
          <w:sz w:val="20"/>
          <w:szCs w:val="20"/>
        </w:rPr>
        <w:t>potential i</w:t>
      </w:r>
      <w:r>
        <w:rPr>
          <w:rFonts w:hint="eastAsia" w:ascii="Arial" w:hAnsi="Arial" w:cs="Arial"/>
          <w:sz w:val="20"/>
          <w:szCs w:val="20"/>
          <w:lang w:val="en-US" w:eastAsia="zh-CN"/>
        </w:rPr>
        <w:t>ssues</w:t>
      </w:r>
      <w:r>
        <w:rPr>
          <w:rFonts w:hint="eastAsia" w:ascii="Arial" w:hAnsi="Arial" w:cs="Arial"/>
          <w:sz w:val="20"/>
          <w:szCs w:val="20"/>
        </w:rPr>
        <w:t xml:space="preserve"> </w:t>
      </w:r>
      <w:r>
        <w:rPr>
          <w:rFonts w:hint="eastAsia" w:ascii="Arial" w:hAnsi="Arial" w:eastAsia="宋体" w:cs="Arial"/>
          <w:kern w:val="0"/>
          <w:sz w:val="20"/>
          <w:szCs w:val="20"/>
        </w:rPr>
        <w:t xml:space="preserve">on </w:t>
      </w:r>
      <w:r>
        <w:rPr>
          <w:rFonts w:hint="eastAsia" w:ascii="Arial" w:hAnsi="Arial" w:eastAsia="宋体" w:cs="Arial"/>
          <w:kern w:val="0"/>
          <w:sz w:val="20"/>
          <w:szCs w:val="20"/>
          <w:lang w:val="en-US" w:eastAsia="zh-CN"/>
        </w:rPr>
        <w:t>AI/ML model transfer/delivery</w:t>
      </w:r>
      <w:r>
        <w:rPr>
          <w:rFonts w:ascii="Arial" w:hAnsi="Arial" w:eastAsia="宋体" w:cs="Arial"/>
          <w:kern w:val="0"/>
          <w:sz w:val="20"/>
          <w:szCs w:val="20"/>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the following relations between solutions and use cases.</w:t>
      </w: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sz w:val="20"/>
          <w:szCs w:val="20"/>
          <w:lang w:eastAsia="zh-CN"/>
        </w:rPr>
      </w:pPr>
      <w:r>
        <w:rPr>
          <w:rFonts w:hint="default" w:ascii="Arial" w:hAnsi="Arial" w:cs="Arial" w:eastAsiaTheme="minorEastAsia"/>
          <w:b/>
          <w:sz w:val="20"/>
          <w:szCs w:val="20"/>
          <w:lang w:eastAsia="zh-CN"/>
        </w:rPr>
        <w:t>Table: relations between solutions and use cases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8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Solutions</w:t>
            </w:r>
          </w:p>
        </w:tc>
        <w:tc>
          <w:tcPr>
            <w:tcW w:w="8187"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1a, 1b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2a, 2b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3a, 3b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4</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enhancement and beam management use case, CP-based and UP-based solutions between UE and gNB/CN is proposed. However, for CN involved solution (i.e. solution 2a and 2b), we think the motivation is still unclear, the use cases (i.e. CSI feedback and beam management) is purely over air interface which only involves UE and gNB, so it is tricky for CN to collect all necessary data for model training and perform model transfer. In addition, it is also hard for CN to understand the physical parameters and determine which AI/ML model is applicable for the specific use case. On the other hand, solution 2a and 2b need more works in other WGs (e.g. SA2, CT1).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propose to not consider CN involved solution (i.e. solution 2a and 2b) for CSI feedback enhancement and beam management in R18 SI.</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general, the UP-based solution can support the large size model transfer/delivery or transfer/delivery multiple models simultaneously, while the CP-based solution only is challenged due to the limited signaling size. However, for solution 1b, as many companies commented, existing user plane is not applicable since it terminates at UE and UPF. Some companies proposed that a new layer may be introduced to handle the AI model transfer functionality. This will change the basic protocol stack of NR which has significant impacts on overall structure and specs. We think the solution with basic protocol stack change is difficult to be implemented in 5G-A stage, and it is better to consider in early 6G stage. Of course, other solutions without basic protocol stack change can be further studied.</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For Solution 1b, the potential options with basic protocol stack change is not pursued in R18, and potential options without basic protocol stack change can be further studied for model transfer/delivery.</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solution 1a (i.e. RRC signaling between UE and gNB), the biggest challenge is to transfer a large size model, we think RAN2 can further discuss how to resolve this issue.</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discuss how to transfer a large size model via RRC signaling.</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training entity and pros of UP-based solution, we understand another solution (solution 2c) may be applicable for model transfer/delivery, i.e. the model is trained at gNB and delivered to CN, then CN transfer/delivery the model to the UE via UP-based solution. With this solution, CN is not required to be aware of the physical parameters, while can support the large model transfer/delivery, gNB can also be naturally responsible for the life cycle management of AI/ML models. Although this solution has more delay compared with solution 2a and 2b, it is applicable to transfer the offline training model which is latency insensitive for all use cases. We think this potential solution can be further discussed.</w:t>
      </w:r>
    </w:p>
    <w:p>
      <w:pPr>
        <w:widowControl/>
        <w:spacing w:before="120" w:beforeLines="50" w:after="180"/>
        <w:jc w:val="center"/>
      </w:pPr>
      <w:r>
        <w:drawing>
          <wp:inline distT="0" distB="0" distL="114300" distR="114300">
            <wp:extent cx="3225800" cy="21837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25800" cy="2183765"/>
                    </a:xfrm>
                    <a:prstGeom prst="rect">
                      <a:avLst/>
                    </a:prstGeom>
                    <a:noFill/>
                    <a:ln>
                      <a:noFill/>
                    </a:ln>
                  </pic:spPr>
                </pic:pic>
              </a:graphicData>
            </a:graphic>
          </wp:inline>
        </w:drawing>
      </w:r>
    </w:p>
    <w:p>
      <w:pPr>
        <w:widowControl/>
        <w:spacing w:before="120" w:beforeLines="50" w:after="180"/>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Figure 1: Basic flow for solution 2c -</w:t>
      </w:r>
      <w:r>
        <w:rPr>
          <w:rFonts w:hint="eastAsia" w:ascii="Arial" w:hAnsi="Arial" w:cs="Arial"/>
          <w:sz w:val="20"/>
          <w:szCs w:val="21"/>
          <w:lang w:val="en-US" w:eastAsia="zh-CN"/>
        </w:rPr>
        <w:t xml:space="preserve"> model training at gNB, model transfer/delivery from CN to UE</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take the solution 2c (i.e. the model is trained at gNB and delivered to CN, then CN transfer/delivery the model to the UE via UP-based solution) for further discussion.</w:t>
      </w:r>
    </w:p>
    <w:p>
      <w:pPr>
        <w:widowControl/>
        <w:spacing w:before="120" w:beforeLines="50" w:after="180"/>
        <w:jc w:val="both"/>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For positioning accuracy enhancement, solution 3a and 3b is feasible for model transfer/delivery, since LMF has the ability to collect data from multiple gNBs and UEs for the model training. However, some companies pointed that solution 3b is only included in SA2 TR 23.700-71, and it should be specified by SA2. Thus, we prefer to leave it open and wait until SA2 finishes the normative work on the UP solution. We think RAN2 can firstly focus on solution 3a.</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positioning accuracy enhancement, RAN2 focus on solution 3a firstly,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solution 4, it may be transparent to 3GPP and can be left to implementation. Although solution 4 has no spec impacts on model transfer/delivery, there may be some impacts on other LCM procedures, e.g. model identification, model control. The possible impacts can be further studied.</w:t>
      </w:r>
    </w:p>
    <w:p>
      <w:pPr>
        <w:widowControl/>
        <w:spacing w:before="120" w:beforeLines="50" w:after="180"/>
        <w:jc w:val="both"/>
        <w:rPr>
          <w:rFonts w:hint="eastAsia" w:ascii="Arial" w:hAnsi="Arial" w:eastAsia="宋体" w:cs="Arial"/>
          <w:kern w:val="0"/>
          <w:szCs w:val="21"/>
          <w:lang w:val="en-US" w:eastAsia="zh-CN"/>
        </w:rPr>
      </w:pPr>
      <w:r>
        <w:rPr>
          <w:rFonts w:hint="eastAsia" w:ascii="Arial" w:hAnsi="Arial" w:eastAsia="宋体" w:cs="Arial"/>
          <w:b/>
          <w:bCs/>
          <w:kern w:val="0"/>
          <w:sz w:val="20"/>
          <w:szCs w:val="20"/>
          <w:lang w:val="en-US" w:eastAsia="zh-CN"/>
        </w:rPr>
        <w:t>Proposal 6: RAN2 can further study the potential spec impacts on solution 4 for other LCM procedures.</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model transfer/delivery</w:t>
      </w:r>
      <w:r>
        <w:rPr>
          <w:rFonts w:ascii="Arial" w:hAnsi="Arial" w:eastAsia="宋体" w:cs="Arial"/>
          <w:kern w:val="0"/>
          <w:sz w:val="21"/>
          <w:szCs w:val="21"/>
          <w:lang w:val="en-GB" w:eastAsia="en-US"/>
        </w:rPr>
        <w:t>.</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For Solution 1b, the potential options with basic protocol stack change is not pursued in R18, and potential options without basic protocol stack change can be further studied for model transfer/delivery.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discuss how to transfer a large size model via RRC signaling.</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take the solution 2c (i.e. the model is trained at gNB and delivered to CN, then CN transfer/delivery the model to the UE via UP-based solution) for further discussion.</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positioning accuracy enhancement, RAN2 focus on solution 3a firstly,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RAN2 can further study the potential spec impacts on solution 4 for other LCM procedures.</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#121, Athens, Greece</w:t>
      </w:r>
    </w:p>
    <w:p>
      <w:pPr>
        <w:widowControl/>
        <w:numPr>
          <w:ilvl w:val="0"/>
          <w:numId w:val="6"/>
        </w:numPr>
        <w:overflowPunct w:val="0"/>
        <w:autoSpaceDE w:val="0"/>
        <w:autoSpaceDN w:val="0"/>
        <w:adjustRightInd w:val="0"/>
        <w:spacing w:after="180"/>
        <w:jc w:val="left"/>
        <w:textAlignment w:val="baseline"/>
        <w:rPr>
          <w:sz w:val="20"/>
          <w:szCs w:val="20"/>
          <w:lang w:val="en-GB"/>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302268</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Offline 027 model transfer delivery (Huawei)</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0BED944"/>
    <w:multiLevelType w:val="singleLevel"/>
    <w:tmpl w:val="50BED944"/>
    <w:lvl w:ilvl="0" w:tentative="0">
      <w:start w:val="1"/>
      <w:numFmt w:val="decimal"/>
      <w:lvlText w:val="%1"/>
      <w:lvlJc w:val="left"/>
    </w:lvl>
  </w:abstractNum>
  <w:abstractNum w:abstractNumId="4">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4B10"/>
    <w:rsid w:val="01FE2D6C"/>
    <w:rsid w:val="029439C7"/>
    <w:rsid w:val="038A1F16"/>
    <w:rsid w:val="04A37BF0"/>
    <w:rsid w:val="04D74A36"/>
    <w:rsid w:val="05CF31FF"/>
    <w:rsid w:val="06EB297F"/>
    <w:rsid w:val="071830B3"/>
    <w:rsid w:val="072E4FA9"/>
    <w:rsid w:val="07372B6B"/>
    <w:rsid w:val="07535363"/>
    <w:rsid w:val="094470AB"/>
    <w:rsid w:val="09891A74"/>
    <w:rsid w:val="09E033A8"/>
    <w:rsid w:val="09F124DC"/>
    <w:rsid w:val="0A1469F1"/>
    <w:rsid w:val="0A173D8A"/>
    <w:rsid w:val="0A974A3E"/>
    <w:rsid w:val="0B125DA8"/>
    <w:rsid w:val="0BED4B6E"/>
    <w:rsid w:val="0C0C1F3B"/>
    <w:rsid w:val="0C7E283C"/>
    <w:rsid w:val="0CC05689"/>
    <w:rsid w:val="0CD5224C"/>
    <w:rsid w:val="0CE47224"/>
    <w:rsid w:val="0D4A7F23"/>
    <w:rsid w:val="0D711EBE"/>
    <w:rsid w:val="0D771EA7"/>
    <w:rsid w:val="0DCA1CAE"/>
    <w:rsid w:val="0E2222F6"/>
    <w:rsid w:val="0E226524"/>
    <w:rsid w:val="0E4A09D7"/>
    <w:rsid w:val="0E576A3C"/>
    <w:rsid w:val="0F72666A"/>
    <w:rsid w:val="0F8A7784"/>
    <w:rsid w:val="10510B55"/>
    <w:rsid w:val="110171B2"/>
    <w:rsid w:val="123900DB"/>
    <w:rsid w:val="12E6591A"/>
    <w:rsid w:val="13392934"/>
    <w:rsid w:val="14231F17"/>
    <w:rsid w:val="144E5BFE"/>
    <w:rsid w:val="1466786F"/>
    <w:rsid w:val="146D2577"/>
    <w:rsid w:val="14E836E8"/>
    <w:rsid w:val="152B1104"/>
    <w:rsid w:val="15BE553B"/>
    <w:rsid w:val="161147C5"/>
    <w:rsid w:val="16766EE8"/>
    <w:rsid w:val="16A3322F"/>
    <w:rsid w:val="17CD5A7B"/>
    <w:rsid w:val="187A66B9"/>
    <w:rsid w:val="1AA4601E"/>
    <w:rsid w:val="1AB85684"/>
    <w:rsid w:val="1C055EED"/>
    <w:rsid w:val="1C1F5B8F"/>
    <w:rsid w:val="1DE55E1B"/>
    <w:rsid w:val="1EF17AB3"/>
    <w:rsid w:val="1F13603C"/>
    <w:rsid w:val="203D6B05"/>
    <w:rsid w:val="205E7BE3"/>
    <w:rsid w:val="20733ECA"/>
    <w:rsid w:val="20F63843"/>
    <w:rsid w:val="21380790"/>
    <w:rsid w:val="22B32E1B"/>
    <w:rsid w:val="236906A5"/>
    <w:rsid w:val="23700030"/>
    <w:rsid w:val="2375481A"/>
    <w:rsid w:val="23B37A44"/>
    <w:rsid w:val="23F22C5A"/>
    <w:rsid w:val="249D5D77"/>
    <w:rsid w:val="24AC1531"/>
    <w:rsid w:val="24B445FB"/>
    <w:rsid w:val="25994CE6"/>
    <w:rsid w:val="25A02863"/>
    <w:rsid w:val="25F5013E"/>
    <w:rsid w:val="266D13F7"/>
    <w:rsid w:val="26BA68C7"/>
    <w:rsid w:val="26BB312A"/>
    <w:rsid w:val="26F04D89"/>
    <w:rsid w:val="27896EEB"/>
    <w:rsid w:val="27E92788"/>
    <w:rsid w:val="283167B4"/>
    <w:rsid w:val="28557CCB"/>
    <w:rsid w:val="28682A73"/>
    <w:rsid w:val="29355654"/>
    <w:rsid w:val="2B3F4C1F"/>
    <w:rsid w:val="2B4D1216"/>
    <w:rsid w:val="2BD83F8F"/>
    <w:rsid w:val="2C095760"/>
    <w:rsid w:val="2C520908"/>
    <w:rsid w:val="2D3B7B03"/>
    <w:rsid w:val="2D493ADC"/>
    <w:rsid w:val="2DC747E2"/>
    <w:rsid w:val="2DFB6036"/>
    <w:rsid w:val="2E7432C7"/>
    <w:rsid w:val="2EEF1ACA"/>
    <w:rsid w:val="2EF65D76"/>
    <w:rsid w:val="2F064EC1"/>
    <w:rsid w:val="2FBE43F5"/>
    <w:rsid w:val="30D54010"/>
    <w:rsid w:val="31BF549C"/>
    <w:rsid w:val="31CF3B5F"/>
    <w:rsid w:val="31F81857"/>
    <w:rsid w:val="328C48C3"/>
    <w:rsid w:val="331C59FF"/>
    <w:rsid w:val="3337740D"/>
    <w:rsid w:val="34EB675E"/>
    <w:rsid w:val="351A24AD"/>
    <w:rsid w:val="35552036"/>
    <w:rsid w:val="35AA241A"/>
    <w:rsid w:val="35BF6E19"/>
    <w:rsid w:val="366A3CE4"/>
    <w:rsid w:val="36F84B57"/>
    <w:rsid w:val="375E6705"/>
    <w:rsid w:val="37E92A86"/>
    <w:rsid w:val="38243E54"/>
    <w:rsid w:val="38D76BCF"/>
    <w:rsid w:val="38FC32F5"/>
    <w:rsid w:val="39030A9D"/>
    <w:rsid w:val="396866FD"/>
    <w:rsid w:val="39BC4BE1"/>
    <w:rsid w:val="3AD1465E"/>
    <w:rsid w:val="3B5C6A72"/>
    <w:rsid w:val="3C2A4B41"/>
    <w:rsid w:val="3CA66A58"/>
    <w:rsid w:val="3D5B3EF0"/>
    <w:rsid w:val="3E85416B"/>
    <w:rsid w:val="3ECD0998"/>
    <w:rsid w:val="3ED508CA"/>
    <w:rsid w:val="3FA42170"/>
    <w:rsid w:val="3FAF36DB"/>
    <w:rsid w:val="406A14B3"/>
    <w:rsid w:val="40FA2A46"/>
    <w:rsid w:val="410670A8"/>
    <w:rsid w:val="415F764C"/>
    <w:rsid w:val="41B370D6"/>
    <w:rsid w:val="42212582"/>
    <w:rsid w:val="43146FF6"/>
    <w:rsid w:val="433204F8"/>
    <w:rsid w:val="433C3AAA"/>
    <w:rsid w:val="44801F7B"/>
    <w:rsid w:val="44F46625"/>
    <w:rsid w:val="4599227F"/>
    <w:rsid w:val="45EA2721"/>
    <w:rsid w:val="465A1A33"/>
    <w:rsid w:val="46FE4C6E"/>
    <w:rsid w:val="472064CC"/>
    <w:rsid w:val="478879E7"/>
    <w:rsid w:val="47A524D7"/>
    <w:rsid w:val="47C04462"/>
    <w:rsid w:val="47D84F8A"/>
    <w:rsid w:val="47DB6ABB"/>
    <w:rsid w:val="48083448"/>
    <w:rsid w:val="494B68BA"/>
    <w:rsid w:val="49A97E85"/>
    <w:rsid w:val="4B3E5565"/>
    <w:rsid w:val="4B9F60AA"/>
    <w:rsid w:val="4C265440"/>
    <w:rsid w:val="4C340FD6"/>
    <w:rsid w:val="4D9F212B"/>
    <w:rsid w:val="4DA60CF0"/>
    <w:rsid w:val="4DCF4521"/>
    <w:rsid w:val="4E5D756A"/>
    <w:rsid w:val="50077447"/>
    <w:rsid w:val="5057605B"/>
    <w:rsid w:val="512521C5"/>
    <w:rsid w:val="51A823AB"/>
    <w:rsid w:val="51CC648B"/>
    <w:rsid w:val="522E4D5D"/>
    <w:rsid w:val="528B1069"/>
    <w:rsid w:val="52AE0ABE"/>
    <w:rsid w:val="53D170F4"/>
    <w:rsid w:val="548779A2"/>
    <w:rsid w:val="54B70BFC"/>
    <w:rsid w:val="55846FDD"/>
    <w:rsid w:val="55D24828"/>
    <w:rsid w:val="56581D59"/>
    <w:rsid w:val="56AA0BEB"/>
    <w:rsid w:val="57081EE0"/>
    <w:rsid w:val="57CF4F1B"/>
    <w:rsid w:val="58602168"/>
    <w:rsid w:val="586F79A5"/>
    <w:rsid w:val="58AB4E89"/>
    <w:rsid w:val="58B5550E"/>
    <w:rsid w:val="58BF5B9C"/>
    <w:rsid w:val="594E1B4B"/>
    <w:rsid w:val="598034DF"/>
    <w:rsid w:val="59F53E5B"/>
    <w:rsid w:val="5A245845"/>
    <w:rsid w:val="5A2F5AF5"/>
    <w:rsid w:val="5AFF7905"/>
    <w:rsid w:val="5B0E18F6"/>
    <w:rsid w:val="5B382BDE"/>
    <w:rsid w:val="5B492C91"/>
    <w:rsid w:val="5B6B15AA"/>
    <w:rsid w:val="5BF25754"/>
    <w:rsid w:val="5C1E13B0"/>
    <w:rsid w:val="5C5A7F10"/>
    <w:rsid w:val="5C6C3B2F"/>
    <w:rsid w:val="5CE40A94"/>
    <w:rsid w:val="5D3B4F2B"/>
    <w:rsid w:val="5E3E4C2D"/>
    <w:rsid w:val="5EC53874"/>
    <w:rsid w:val="5EE30186"/>
    <w:rsid w:val="5EE37831"/>
    <w:rsid w:val="5F2F6349"/>
    <w:rsid w:val="5F600D4E"/>
    <w:rsid w:val="5FDC55D3"/>
    <w:rsid w:val="60696BD5"/>
    <w:rsid w:val="60C03CCF"/>
    <w:rsid w:val="60F90E60"/>
    <w:rsid w:val="61592A77"/>
    <w:rsid w:val="626802E1"/>
    <w:rsid w:val="632012CF"/>
    <w:rsid w:val="63A26C03"/>
    <w:rsid w:val="63C01CBD"/>
    <w:rsid w:val="640102A9"/>
    <w:rsid w:val="643F3D04"/>
    <w:rsid w:val="64BC2C9E"/>
    <w:rsid w:val="64DA5F38"/>
    <w:rsid w:val="65912A7B"/>
    <w:rsid w:val="65D94399"/>
    <w:rsid w:val="660E4242"/>
    <w:rsid w:val="665D7D32"/>
    <w:rsid w:val="66666C51"/>
    <w:rsid w:val="66BA2385"/>
    <w:rsid w:val="677038E2"/>
    <w:rsid w:val="68FB65DA"/>
    <w:rsid w:val="69293200"/>
    <w:rsid w:val="694347AF"/>
    <w:rsid w:val="694F06EB"/>
    <w:rsid w:val="69766916"/>
    <w:rsid w:val="6AA26939"/>
    <w:rsid w:val="6B9425BB"/>
    <w:rsid w:val="6BE35659"/>
    <w:rsid w:val="6CE3347E"/>
    <w:rsid w:val="6D673555"/>
    <w:rsid w:val="6DC267F1"/>
    <w:rsid w:val="6E083615"/>
    <w:rsid w:val="6E6F0BB4"/>
    <w:rsid w:val="6EB25B0B"/>
    <w:rsid w:val="6EB92134"/>
    <w:rsid w:val="6EC420B6"/>
    <w:rsid w:val="6ED96998"/>
    <w:rsid w:val="6F3364F9"/>
    <w:rsid w:val="70505871"/>
    <w:rsid w:val="706B4405"/>
    <w:rsid w:val="709A7A5C"/>
    <w:rsid w:val="70C52DF1"/>
    <w:rsid w:val="70CE5BDD"/>
    <w:rsid w:val="70D85A71"/>
    <w:rsid w:val="71E95E0C"/>
    <w:rsid w:val="732872C5"/>
    <w:rsid w:val="73311008"/>
    <w:rsid w:val="743D52D7"/>
    <w:rsid w:val="749949A3"/>
    <w:rsid w:val="74BB0D2E"/>
    <w:rsid w:val="75417F6E"/>
    <w:rsid w:val="769E6A1B"/>
    <w:rsid w:val="76DB0D8A"/>
    <w:rsid w:val="771F60E4"/>
    <w:rsid w:val="777F2661"/>
    <w:rsid w:val="77E32042"/>
    <w:rsid w:val="783436C5"/>
    <w:rsid w:val="78786397"/>
    <w:rsid w:val="79C61A14"/>
    <w:rsid w:val="79EC6CEB"/>
    <w:rsid w:val="7A481CA5"/>
    <w:rsid w:val="7B4126B7"/>
    <w:rsid w:val="7C171859"/>
    <w:rsid w:val="7C4E5B9F"/>
    <w:rsid w:val="7D3944F4"/>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12</TotalTime>
  <ScaleCrop>false</ScaleCrop>
  <LinksUpToDate>false</LinksUpToDate>
  <CharactersWithSpaces>14605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2023-05-12T06:56:12Z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B885AD6F5FBF43BCA627E3F2E4666C41</vt:lpwstr>
  </property>
</Properties>
</file>